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4B" w:rsidRDefault="00654C4B" w:rsidP="00654C4B">
      <w:pPr>
        <w:snapToGrid w:val="0"/>
        <w:jc w:val="center"/>
      </w:pPr>
      <w:r>
        <w:t>Аннотация к рабочей программе по математике 5 класса</w:t>
      </w:r>
    </w:p>
    <w:p w:rsidR="00654C4B" w:rsidRPr="00DA10C7" w:rsidRDefault="00723267" w:rsidP="00654C4B">
      <w:pPr>
        <w:snapToGrid w:val="0"/>
        <w:rPr>
          <w:rFonts w:eastAsia="Calibri"/>
          <w:lang w:eastAsia="en-US"/>
        </w:rPr>
      </w:pPr>
      <w:r>
        <w:t xml:space="preserve">          </w:t>
      </w:r>
      <w:proofErr w:type="gramStart"/>
      <w:r w:rsidR="00654C4B" w:rsidRPr="00DA10C7">
        <w:t>Программа составлена в соответствии с требованиями Федерального государственного образовательного стандарта  основного общего образования, примерной программы основного общего образования по математике, основной образовательной программы основного общего образования МБОУ «</w:t>
      </w:r>
      <w:proofErr w:type="spellStart"/>
      <w:r w:rsidR="00654C4B" w:rsidRPr="00DA10C7">
        <w:t>Решотинская</w:t>
      </w:r>
      <w:proofErr w:type="spellEnd"/>
      <w:r w:rsidR="00654C4B" w:rsidRPr="00DA10C7">
        <w:t xml:space="preserve"> средняя школа №1 имени Героя Советского Союза В.П. Лаптева» и адресована </w:t>
      </w:r>
      <w:r w:rsidR="00654C4B" w:rsidRPr="00DA10C7">
        <w:rPr>
          <w:rFonts w:eastAsia="Calibri"/>
          <w:lang w:eastAsia="en-US"/>
        </w:rPr>
        <w:t>5 «а», 5 «б» классам в объеме 5 часов в неделю, 175 часов в год.</w:t>
      </w:r>
      <w:proofErr w:type="gramEnd"/>
      <w:r w:rsidR="00654C4B" w:rsidRPr="00DA10C7">
        <w:rPr>
          <w:rFonts w:eastAsia="Calibri"/>
          <w:lang w:eastAsia="en-US"/>
        </w:rPr>
        <w:t xml:space="preserve"> Из них 11 контрольных работ. </w:t>
      </w:r>
    </w:p>
    <w:p w:rsidR="00654C4B" w:rsidRPr="00DA10C7" w:rsidRDefault="00654C4B" w:rsidP="00654C4B">
      <w:pPr>
        <w:snapToGrid w:val="0"/>
        <w:rPr>
          <w:rFonts w:eastAsia="Calibri"/>
          <w:lang w:eastAsia="en-US"/>
        </w:rPr>
      </w:pPr>
      <w:r w:rsidRPr="00DA10C7">
        <w:rPr>
          <w:rFonts w:eastAsia="Calibri"/>
          <w:lang w:eastAsia="en-US"/>
        </w:rPr>
        <w:t xml:space="preserve">Рабочая программа конкретизирует содержание, последовательность изучения тем и разделов учебного предмета с учетом </w:t>
      </w:r>
      <w:proofErr w:type="spellStart"/>
      <w:r w:rsidRPr="00DA10C7">
        <w:rPr>
          <w:rFonts w:eastAsia="Calibri"/>
          <w:lang w:eastAsia="en-US"/>
        </w:rPr>
        <w:t>межпредметных</w:t>
      </w:r>
      <w:proofErr w:type="spellEnd"/>
      <w:r w:rsidRPr="00DA10C7">
        <w:rPr>
          <w:rFonts w:eastAsia="Calibri"/>
          <w:lang w:eastAsia="en-US"/>
        </w:rPr>
        <w:t xml:space="preserve"> и внутри предметных связей. Итоговой работой в 5 класс будет контрольная работа.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          Обучение математике в основной школе направлено на достижение следующих целей: </w:t>
      </w:r>
    </w:p>
    <w:p w:rsidR="00654C4B" w:rsidRPr="00DA10C7" w:rsidRDefault="00654C4B" w:rsidP="00654C4B">
      <w:pPr>
        <w:pStyle w:val="a3"/>
        <w:jc w:val="both"/>
      </w:pPr>
      <w:r w:rsidRPr="00DA10C7">
        <w:rPr>
          <w:b/>
        </w:rPr>
        <w:t xml:space="preserve">в </w:t>
      </w:r>
      <w:proofErr w:type="spellStart"/>
      <w:r w:rsidRPr="00DA10C7">
        <w:rPr>
          <w:b/>
        </w:rPr>
        <w:t>метапредметном</w:t>
      </w:r>
      <w:proofErr w:type="spellEnd"/>
      <w:r w:rsidRPr="00DA10C7">
        <w:rPr>
          <w:b/>
        </w:rPr>
        <w:t xml:space="preserve"> направлении</w:t>
      </w:r>
      <w:r w:rsidRPr="00DA10C7">
        <w:t>: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654C4B" w:rsidRPr="00DA10C7" w:rsidRDefault="00654C4B" w:rsidP="00654C4B">
      <w:pPr>
        <w:pStyle w:val="a3"/>
        <w:jc w:val="both"/>
      </w:pPr>
      <w:r w:rsidRPr="00DA10C7">
        <w:rPr>
          <w:b/>
        </w:rPr>
        <w:t xml:space="preserve"> в направлении личностного развития</w:t>
      </w:r>
      <w:r w:rsidRPr="00DA10C7">
        <w:t xml:space="preserve">: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развитие логического мышления, культуры речи, способности к критическому анализу собственных действий и проведению умственных экспериментов;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формирование качеств мышления, необходимых для адаптации в современном информационном обществе;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развитие интереса к математическому творчеству и математических способностей;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654C4B" w:rsidRPr="00DA10C7" w:rsidRDefault="00654C4B" w:rsidP="00654C4B">
      <w:pPr>
        <w:pStyle w:val="a3"/>
        <w:jc w:val="both"/>
      </w:pPr>
      <w:r w:rsidRPr="00DA10C7">
        <w:rPr>
          <w:b/>
        </w:rPr>
        <w:t xml:space="preserve"> в предметном направлении</w:t>
      </w:r>
      <w:r w:rsidRPr="00DA10C7">
        <w:t xml:space="preserve">: </w:t>
      </w:r>
    </w:p>
    <w:p w:rsidR="00654C4B" w:rsidRPr="00DA10C7" w:rsidRDefault="00654C4B" w:rsidP="00654C4B">
      <w:pPr>
        <w:pStyle w:val="a3"/>
        <w:jc w:val="both"/>
      </w:pPr>
      <w:r w:rsidRPr="00DA10C7">
        <w:t xml:space="preserve">- овладение математическими знаниями и умениями, необходимыми для продолжения обучения в высших образовательных учреждениях, изучения смежных дисциплин, применения в повседневной жизни; </w:t>
      </w:r>
    </w:p>
    <w:p w:rsidR="00654C4B" w:rsidRPr="00DA10C7" w:rsidRDefault="00654C4B" w:rsidP="00654C4B">
      <w:pPr>
        <w:pStyle w:val="a3"/>
        <w:jc w:val="both"/>
      </w:pPr>
      <w:r w:rsidRPr="00DA10C7"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54C4B" w:rsidRPr="00DA10C7" w:rsidRDefault="00654C4B" w:rsidP="00654C4B">
      <w:pPr>
        <w:pStyle w:val="a3"/>
        <w:jc w:val="both"/>
        <w:rPr>
          <w:rFonts w:eastAsia="@Arial Unicode MS"/>
          <w:lang w:eastAsia="en-US"/>
        </w:rPr>
      </w:pPr>
      <w:r w:rsidRPr="00DA10C7">
        <w:rPr>
          <w:b/>
          <w:color w:val="000000"/>
        </w:rPr>
        <w:t xml:space="preserve">     </w:t>
      </w:r>
      <w:r w:rsidR="00723267">
        <w:rPr>
          <w:b/>
          <w:color w:val="000000"/>
        </w:rPr>
        <w:t xml:space="preserve">     </w:t>
      </w:r>
      <w:r w:rsidRPr="00DA10C7">
        <w:rPr>
          <w:b/>
          <w:color w:val="000000"/>
        </w:rPr>
        <w:t xml:space="preserve">Цели и задачи  обучения: </w:t>
      </w:r>
      <w:r w:rsidRPr="00DA10C7">
        <w:rPr>
          <w:rFonts w:eastAsia="@Arial Unicode MS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54C4B" w:rsidRPr="00DA10C7" w:rsidRDefault="00654C4B" w:rsidP="00654C4B">
      <w:pPr>
        <w:pStyle w:val="a3"/>
        <w:jc w:val="both"/>
        <w:rPr>
          <w:rFonts w:eastAsia="Calibri"/>
          <w:lang w:eastAsia="en-US"/>
        </w:rPr>
      </w:pPr>
      <w:r w:rsidRPr="00DA10C7">
        <w:rPr>
          <w:rFonts w:eastAsia="Calibri"/>
          <w:lang w:eastAsia="en-US"/>
        </w:rPr>
        <w:t xml:space="preserve">становление и развитие личности </w:t>
      </w:r>
      <w:proofErr w:type="gramStart"/>
      <w:r w:rsidRPr="00DA10C7">
        <w:rPr>
          <w:rFonts w:eastAsia="Calibri"/>
          <w:lang w:eastAsia="en-US"/>
        </w:rPr>
        <w:t>обучающегося</w:t>
      </w:r>
      <w:proofErr w:type="gramEnd"/>
      <w:r w:rsidRPr="00DA10C7">
        <w:rPr>
          <w:rFonts w:eastAsia="Calibri"/>
          <w:lang w:eastAsia="en-US"/>
        </w:rPr>
        <w:t xml:space="preserve"> в ее самобытности, уникальности, неповторимости.</w:t>
      </w:r>
    </w:p>
    <w:p w:rsidR="00654C4B" w:rsidRPr="00DA10C7" w:rsidRDefault="00654C4B" w:rsidP="00654C4B">
      <w:pPr>
        <w:pStyle w:val="a3"/>
        <w:jc w:val="both"/>
        <w:rPr>
          <w:rFonts w:eastAsia="@Arial Unicode MS"/>
          <w:b/>
          <w:bCs/>
          <w:noProof/>
        </w:rPr>
      </w:pPr>
      <w:r w:rsidRPr="00DA10C7">
        <w:rPr>
          <w:rFonts w:eastAsia="@Arial Unicode MS"/>
          <w:b/>
          <w:lang w:eastAsia="en-US"/>
        </w:rPr>
        <w:t xml:space="preserve">   </w:t>
      </w:r>
      <w:r w:rsidR="00723267">
        <w:rPr>
          <w:rFonts w:eastAsia="@Arial Unicode MS"/>
          <w:b/>
          <w:lang w:eastAsia="en-US"/>
        </w:rPr>
        <w:t xml:space="preserve">      </w:t>
      </w:r>
      <w:r w:rsidRPr="00DA10C7">
        <w:rPr>
          <w:rFonts w:eastAsia="@Arial Unicode MS"/>
          <w:b/>
          <w:lang w:eastAsia="en-US"/>
        </w:rPr>
        <w:t xml:space="preserve">  Достижение поставленных целей </w:t>
      </w:r>
      <w:r w:rsidRPr="00DA10C7">
        <w:rPr>
          <w:rFonts w:eastAsia="@Arial Unicode MS"/>
          <w:lang w:eastAsia="en-US"/>
        </w:rPr>
        <w:t>при</w:t>
      </w:r>
      <w:r w:rsidRPr="00DA10C7">
        <w:rPr>
          <w:rFonts w:eastAsia="@Arial Unicode MS"/>
          <w:b/>
          <w:lang w:eastAsia="en-US"/>
        </w:rPr>
        <w:t xml:space="preserve"> </w:t>
      </w:r>
      <w:r w:rsidRPr="00DA10C7">
        <w:rPr>
          <w:rFonts w:eastAsia="@Arial Unicode MS"/>
          <w:lang w:eastAsia="en-US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DA10C7">
        <w:rPr>
          <w:rFonts w:eastAsia="@Arial Unicode MS"/>
          <w:b/>
          <w:lang w:eastAsia="en-US"/>
        </w:rPr>
        <w:t xml:space="preserve"> предусматривает решение следующих основных задач</w:t>
      </w:r>
      <w:r w:rsidRPr="00DA10C7">
        <w:rPr>
          <w:rFonts w:eastAsia="@Arial Unicode MS"/>
          <w:lang w:eastAsia="en-US"/>
        </w:rPr>
        <w:t xml:space="preserve">: 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lastRenderedPageBreak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обеспечение преемственности начального общего, основного общего, среднего общего образования;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A10C7">
        <w:rPr>
          <w:rFonts w:eastAsia="@Arial Unicode MS"/>
          <w:lang w:eastAsia="en-US"/>
        </w:rPr>
        <w:t>внутришкольной</w:t>
      </w:r>
      <w:proofErr w:type="spellEnd"/>
      <w:r w:rsidRPr="00DA10C7">
        <w:rPr>
          <w:rFonts w:eastAsia="@Arial Unicode MS"/>
          <w:lang w:eastAsia="en-US"/>
        </w:rPr>
        <w:t xml:space="preserve"> социальной среды, школьного уклада;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 xml:space="preserve">включение </w:t>
      </w:r>
      <w:proofErr w:type="gramStart"/>
      <w:r w:rsidRPr="00DA10C7">
        <w:rPr>
          <w:rFonts w:eastAsia="@Arial Unicode MS"/>
          <w:lang w:eastAsia="en-US"/>
        </w:rPr>
        <w:t>обучающихся</w:t>
      </w:r>
      <w:proofErr w:type="gramEnd"/>
      <w:r w:rsidRPr="00DA10C7">
        <w:rPr>
          <w:rFonts w:eastAsia="@Arial Unicode MS"/>
          <w:lang w:eastAsia="en-US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54C4B" w:rsidRPr="00DA10C7" w:rsidRDefault="00654C4B" w:rsidP="00654C4B">
      <w:pPr>
        <w:pStyle w:val="a3"/>
        <w:jc w:val="both"/>
        <w:rPr>
          <w:rFonts w:eastAsia="@Arial Unicode MS"/>
        </w:rPr>
      </w:pPr>
      <w:r w:rsidRPr="00DA10C7">
        <w:rPr>
          <w:rFonts w:eastAsia="@Arial Unicode MS"/>
          <w:lang w:eastAsia="en-U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654C4B" w:rsidRPr="00DA10C7" w:rsidRDefault="00654C4B" w:rsidP="00654C4B">
      <w:pPr>
        <w:pStyle w:val="a3"/>
        <w:jc w:val="both"/>
        <w:rPr>
          <w:rFonts w:eastAsia="@Arial Unicode MS"/>
          <w:lang w:eastAsia="en-US"/>
        </w:rPr>
      </w:pPr>
      <w:r w:rsidRPr="00DA10C7">
        <w:rPr>
          <w:rFonts w:eastAsia="@Arial Unicode MS"/>
          <w:lang w:eastAsia="en-US"/>
        </w:rPr>
        <w:t>сохранение</w:t>
      </w:r>
      <w:r w:rsidRPr="00DA10C7">
        <w:rPr>
          <w:rFonts w:eastAsia="Calibri"/>
          <w:lang w:eastAsia="en-US"/>
        </w:rPr>
        <w:t xml:space="preserve"> и укрепление физического, психологического и социального здоровья обучающихся</w:t>
      </w:r>
      <w:r>
        <w:rPr>
          <w:rFonts w:eastAsia="@Arial Unicode MS"/>
          <w:lang w:eastAsia="en-US"/>
        </w:rPr>
        <w:t>, обеспечение их безопасности.</w:t>
      </w:r>
    </w:p>
    <w:p w:rsidR="00654C4B" w:rsidRPr="00DA10C7" w:rsidRDefault="00654C4B" w:rsidP="00654C4B">
      <w:pPr>
        <w:jc w:val="both"/>
        <w:rPr>
          <w:b/>
        </w:rPr>
      </w:pPr>
    </w:p>
    <w:p w:rsidR="00654C4B" w:rsidRPr="00DA10C7" w:rsidRDefault="00654C4B" w:rsidP="00654C4B">
      <w:pPr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>Тематическое планирование по математике 5 класс:</w:t>
      </w:r>
    </w:p>
    <w:p w:rsidR="00654C4B" w:rsidRPr="00DA10C7" w:rsidRDefault="00654C4B" w:rsidP="00654C4B">
      <w:pPr>
        <w:rPr>
          <w:rFonts w:eastAsiaTheme="minorHAnsi"/>
          <w:lang w:eastAsia="en-US"/>
        </w:rPr>
      </w:pPr>
    </w:p>
    <w:p w:rsidR="00654C4B" w:rsidRPr="00DA10C7" w:rsidRDefault="00654C4B" w:rsidP="00654C4B">
      <w:pPr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 xml:space="preserve">                                  Тема                            Количество часов</w:t>
      </w:r>
      <w:r w:rsidRPr="00DA10C7">
        <w:rPr>
          <w:rFonts w:eastAsiaTheme="minorHAnsi"/>
          <w:lang w:eastAsia="en-US"/>
        </w:rPr>
        <w:tab/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 xml:space="preserve">Натуральные числа </w:t>
      </w:r>
      <w:r w:rsidRPr="00DA10C7">
        <w:rPr>
          <w:rFonts w:eastAsiaTheme="minorHAnsi"/>
          <w:lang w:eastAsia="en-US"/>
        </w:rPr>
        <w:tab/>
      </w:r>
      <w:r w:rsidRPr="00DA10C7">
        <w:rPr>
          <w:rFonts w:eastAsiaTheme="minorHAnsi"/>
          <w:lang w:eastAsia="en-US"/>
        </w:rPr>
        <w:tab/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50</w:t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 xml:space="preserve">Обыкновенные дроби </w:t>
      </w:r>
      <w:r w:rsidRPr="00DA10C7">
        <w:rPr>
          <w:rFonts w:eastAsiaTheme="minorHAnsi"/>
          <w:lang w:eastAsia="en-US"/>
        </w:rPr>
        <w:tab/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32</w:t>
      </w:r>
      <w:r w:rsidRPr="00DA10C7">
        <w:rPr>
          <w:rFonts w:eastAsiaTheme="minorHAnsi"/>
          <w:lang w:eastAsia="en-US"/>
        </w:rPr>
        <w:tab/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 xml:space="preserve">Геометрические фигуры </w:t>
      </w:r>
      <w:r w:rsidRPr="00DA10C7">
        <w:rPr>
          <w:rFonts w:eastAsiaTheme="minorHAnsi"/>
          <w:lang w:eastAsia="en-US"/>
        </w:rPr>
        <w:tab/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22</w:t>
      </w:r>
      <w:r w:rsidRPr="00DA10C7">
        <w:rPr>
          <w:rFonts w:eastAsiaTheme="minorHAnsi"/>
          <w:lang w:eastAsia="en-US"/>
        </w:rPr>
        <w:tab/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lastRenderedPageBreak/>
        <w:tab/>
        <w:t xml:space="preserve">Десятичные дроби </w:t>
      </w:r>
      <w:r w:rsidRPr="00DA10C7">
        <w:rPr>
          <w:rFonts w:eastAsiaTheme="minorHAnsi"/>
          <w:lang w:eastAsia="en-US"/>
        </w:rPr>
        <w:tab/>
        <w:t xml:space="preserve">            </w:t>
      </w:r>
      <w:r w:rsidR="00723267">
        <w:rPr>
          <w:rFonts w:eastAsiaTheme="minorHAnsi"/>
          <w:lang w:eastAsia="en-US"/>
        </w:rPr>
        <w:t xml:space="preserve">                           </w:t>
      </w:r>
      <w:r w:rsidRPr="00DA10C7">
        <w:rPr>
          <w:rFonts w:eastAsiaTheme="minorHAnsi"/>
          <w:lang w:eastAsia="en-US"/>
        </w:rPr>
        <w:t>31</w:t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 xml:space="preserve">           Проценты                              </w:t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13</w:t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>Геометрические тела</w:t>
      </w:r>
      <w:r w:rsidRPr="00DA10C7">
        <w:rPr>
          <w:rFonts w:eastAsiaTheme="minorHAnsi"/>
          <w:lang w:eastAsia="en-US"/>
        </w:rPr>
        <w:tab/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8</w:t>
      </w:r>
      <w:r w:rsidRPr="00DA10C7">
        <w:rPr>
          <w:rFonts w:eastAsiaTheme="minorHAnsi"/>
          <w:lang w:eastAsia="en-US"/>
        </w:rPr>
        <w:tab/>
      </w:r>
    </w:p>
    <w:p w:rsidR="00654C4B" w:rsidRPr="00DA10C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>Введение в вероятность</w:t>
      </w:r>
      <w:r w:rsidRPr="00DA10C7">
        <w:rPr>
          <w:rFonts w:eastAsiaTheme="minorHAnsi"/>
          <w:lang w:eastAsia="en-US"/>
        </w:rPr>
        <w:tab/>
      </w:r>
      <w:r w:rsidR="00723267">
        <w:rPr>
          <w:rFonts w:eastAsiaTheme="minorHAnsi"/>
          <w:lang w:eastAsia="en-US"/>
        </w:rPr>
        <w:t xml:space="preserve">                            </w:t>
      </w:r>
      <w:r w:rsidRPr="00DA10C7">
        <w:rPr>
          <w:rFonts w:eastAsiaTheme="minorHAnsi"/>
          <w:lang w:eastAsia="en-US"/>
        </w:rPr>
        <w:t>4</w:t>
      </w:r>
      <w:r w:rsidRPr="00DA10C7">
        <w:rPr>
          <w:rFonts w:eastAsiaTheme="minorHAnsi"/>
          <w:lang w:eastAsia="en-US"/>
        </w:rPr>
        <w:tab/>
      </w:r>
    </w:p>
    <w:p w:rsidR="00654C4B" w:rsidRPr="00723267" w:rsidRDefault="00654C4B" w:rsidP="00654C4B">
      <w:pPr>
        <w:numPr>
          <w:ilvl w:val="0"/>
          <w:numId w:val="1"/>
        </w:numPr>
        <w:ind w:left="0"/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 xml:space="preserve">Итоговое повторение         </w:t>
      </w:r>
      <w:r w:rsidR="00723267">
        <w:rPr>
          <w:rFonts w:eastAsiaTheme="minorHAnsi"/>
          <w:lang w:eastAsia="en-US"/>
        </w:rPr>
        <w:t xml:space="preserve">                              1</w:t>
      </w:r>
      <w:r w:rsidRPr="00DA10C7">
        <w:rPr>
          <w:rFonts w:eastAsiaTheme="minorHAnsi"/>
          <w:lang w:eastAsia="en-US"/>
        </w:rPr>
        <w:t>0</w:t>
      </w:r>
    </w:p>
    <w:p w:rsidR="00654C4B" w:rsidRPr="00DA10C7" w:rsidRDefault="00654C4B" w:rsidP="00654C4B">
      <w:pPr>
        <w:rPr>
          <w:rFonts w:eastAsiaTheme="minorHAnsi"/>
          <w:lang w:eastAsia="en-US"/>
        </w:rPr>
      </w:pPr>
      <w:r w:rsidRPr="00DA10C7">
        <w:rPr>
          <w:rFonts w:eastAsiaTheme="minorHAnsi"/>
          <w:lang w:eastAsia="en-US"/>
        </w:rPr>
        <w:tab/>
        <w:t xml:space="preserve">                                      Всего:</w:t>
      </w:r>
      <w:r w:rsidRPr="00DA10C7">
        <w:rPr>
          <w:rFonts w:eastAsiaTheme="minorHAnsi"/>
          <w:lang w:eastAsia="en-US"/>
        </w:rPr>
        <w:tab/>
        <w:t>170</w:t>
      </w:r>
      <w:r w:rsidRPr="00DA10C7">
        <w:rPr>
          <w:rFonts w:eastAsiaTheme="minorHAnsi"/>
          <w:lang w:eastAsia="en-US"/>
        </w:rPr>
        <w:tab/>
      </w:r>
    </w:p>
    <w:p w:rsidR="00654C4B" w:rsidRPr="00654C4B" w:rsidRDefault="00654C4B" w:rsidP="00654C4B">
      <w:pPr>
        <w:pStyle w:val="a4"/>
        <w:rPr>
          <w:b/>
          <w:sz w:val="24"/>
          <w:szCs w:val="24"/>
        </w:rPr>
      </w:pPr>
      <w:r w:rsidRPr="00654C4B">
        <w:rPr>
          <w:b/>
          <w:sz w:val="24"/>
          <w:szCs w:val="24"/>
        </w:rPr>
        <w:t>Требования к  уровню подготовки учащихся:</w:t>
      </w:r>
    </w:p>
    <w:p w:rsidR="00654C4B" w:rsidRPr="00654C4B" w:rsidRDefault="00654C4B" w:rsidP="00654C4B">
      <w:pPr>
        <w:pStyle w:val="a4"/>
        <w:rPr>
          <w:b/>
          <w:sz w:val="24"/>
          <w:szCs w:val="24"/>
        </w:rPr>
      </w:pPr>
    </w:p>
    <w:p w:rsidR="00654C4B" w:rsidRPr="00723267" w:rsidRDefault="00654C4B" w:rsidP="00654C4B">
      <w:pPr>
        <w:pStyle w:val="a4"/>
        <w:jc w:val="both"/>
        <w:rPr>
          <w:b/>
          <w:i/>
          <w:sz w:val="24"/>
          <w:szCs w:val="24"/>
        </w:rPr>
      </w:pPr>
      <w:r w:rsidRPr="00723267">
        <w:rPr>
          <w:b/>
          <w:sz w:val="24"/>
          <w:szCs w:val="24"/>
        </w:rPr>
        <w:t xml:space="preserve">Учащиеся должны </w:t>
      </w:r>
      <w:r w:rsidRPr="00723267">
        <w:rPr>
          <w:b/>
          <w:i/>
          <w:sz w:val="24"/>
          <w:szCs w:val="24"/>
        </w:rPr>
        <w:t>знать:</w:t>
      </w:r>
    </w:p>
    <w:p w:rsidR="00654C4B" w:rsidRPr="00654C4B" w:rsidRDefault="00654C4B" w:rsidP="00654C4B">
      <w:pPr>
        <w:pStyle w:val="a4"/>
        <w:jc w:val="both"/>
        <w:rPr>
          <w:b/>
          <w:i/>
          <w:sz w:val="24"/>
          <w:szCs w:val="24"/>
        </w:rPr>
      </w:pPr>
      <w:r w:rsidRPr="00654C4B">
        <w:rPr>
          <w:b/>
          <w:i/>
          <w:sz w:val="24"/>
          <w:szCs w:val="24"/>
        </w:rPr>
        <w:t xml:space="preserve">    </w:t>
      </w:r>
      <w:r w:rsidR="00723267">
        <w:rPr>
          <w:b/>
          <w:i/>
          <w:sz w:val="24"/>
          <w:szCs w:val="24"/>
        </w:rPr>
        <w:t xml:space="preserve">   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b/>
          <w:i/>
          <w:sz w:val="24"/>
          <w:szCs w:val="24"/>
        </w:rPr>
        <w:t xml:space="preserve">   • </w:t>
      </w:r>
      <w:r w:rsidRPr="00654C4B">
        <w:rPr>
          <w:sz w:val="24"/>
          <w:szCs w:val="24"/>
        </w:rPr>
        <w:t>о числе и десятичной системе счисления, о натуральных числах, обыкновенных и десятичных дробях;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b/>
          <w:i/>
          <w:sz w:val="24"/>
          <w:szCs w:val="24"/>
        </w:rPr>
        <w:t xml:space="preserve">   • </w:t>
      </w:r>
      <w:r w:rsidRPr="00654C4B">
        <w:rPr>
          <w:sz w:val="24"/>
          <w:szCs w:val="24"/>
        </w:rPr>
        <w:t>о достоверных, невозможных и случайных событиях;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о плоских фигурах и их свойствах, а также о простейших пространственных телах.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</w:p>
    <w:p w:rsidR="00654C4B" w:rsidRPr="00723267" w:rsidRDefault="00654C4B" w:rsidP="00654C4B">
      <w:pPr>
        <w:pStyle w:val="a4"/>
        <w:jc w:val="both"/>
        <w:rPr>
          <w:b/>
          <w:i/>
          <w:sz w:val="24"/>
          <w:szCs w:val="24"/>
        </w:rPr>
      </w:pPr>
      <w:r w:rsidRPr="00654C4B">
        <w:rPr>
          <w:sz w:val="24"/>
          <w:szCs w:val="24"/>
        </w:rPr>
        <w:t xml:space="preserve">   </w:t>
      </w:r>
      <w:r w:rsidRPr="00723267">
        <w:rPr>
          <w:b/>
          <w:sz w:val="24"/>
          <w:szCs w:val="24"/>
        </w:rPr>
        <w:t xml:space="preserve">Учащиеся должны </w:t>
      </w:r>
      <w:r w:rsidRPr="00723267">
        <w:rPr>
          <w:b/>
          <w:i/>
          <w:sz w:val="24"/>
          <w:szCs w:val="24"/>
        </w:rPr>
        <w:t>уметь:</w:t>
      </w:r>
    </w:p>
    <w:p w:rsidR="00654C4B" w:rsidRPr="00723267" w:rsidRDefault="00654C4B" w:rsidP="00654C4B">
      <w:pPr>
        <w:pStyle w:val="a4"/>
        <w:jc w:val="both"/>
        <w:rPr>
          <w:b/>
          <w:i/>
          <w:sz w:val="24"/>
          <w:szCs w:val="24"/>
        </w:rPr>
      </w:pP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выражать свои мысли в устной и письменной речи, применяя математическую терминологию и символику;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выполнять арифметические действия с натуральными числами, обыкновенными и десятичными дробями;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выполнять простейшие вычисления с помощью микрокалькулятора;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решать текстовые задачи арифметическим способом; составлять графические и аналитические модели реальных ситуаций;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составлять алгебраические модели реальных ситуаций и выполнять простейшие преобразования буквенных выражений (типа 0,5 </w:t>
      </w:r>
      <w:r w:rsidRPr="00654C4B">
        <w:rPr>
          <w:i/>
          <w:sz w:val="24"/>
          <w:szCs w:val="24"/>
        </w:rPr>
        <w:t xml:space="preserve">х + </w:t>
      </w:r>
      <w:r w:rsidRPr="00654C4B">
        <w:rPr>
          <w:sz w:val="24"/>
          <w:szCs w:val="24"/>
        </w:rPr>
        <w:t>7,2</w:t>
      </w:r>
      <w:r w:rsidRPr="00654C4B">
        <w:rPr>
          <w:i/>
          <w:sz w:val="24"/>
          <w:szCs w:val="24"/>
        </w:rPr>
        <w:t>х +</w:t>
      </w:r>
      <w:r w:rsidRPr="00654C4B">
        <w:rPr>
          <w:sz w:val="24"/>
          <w:szCs w:val="24"/>
        </w:rPr>
        <w:t xml:space="preserve"> 8 = 7,7</w:t>
      </w:r>
      <w:r w:rsidRPr="00654C4B">
        <w:rPr>
          <w:i/>
          <w:sz w:val="24"/>
          <w:szCs w:val="24"/>
        </w:rPr>
        <w:t xml:space="preserve">х </w:t>
      </w:r>
      <w:r w:rsidRPr="00654C4B">
        <w:rPr>
          <w:sz w:val="24"/>
          <w:szCs w:val="24"/>
        </w:rPr>
        <w:t>+ 8);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решать уравнения методом отыскания неизвестного компонента действия (простейшие случаи);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использовать геометрический язык для описания предметов окружающего мира в простейших случаях;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определять длину отрезка, величину угла;</w:t>
      </w:r>
    </w:p>
    <w:p w:rsidR="00654C4B" w:rsidRPr="00654C4B" w:rsidRDefault="00654C4B" w:rsidP="00654C4B">
      <w:pPr>
        <w:pStyle w:val="a4"/>
        <w:jc w:val="both"/>
        <w:rPr>
          <w:sz w:val="24"/>
          <w:szCs w:val="24"/>
        </w:rPr>
      </w:pPr>
      <w:r w:rsidRPr="00654C4B">
        <w:rPr>
          <w:sz w:val="24"/>
          <w:szCs w:val="24"/>
        </w:rPr>
        <w:t xml:space="preserve">   • вычислять периметр и площадь прямоугольника, треугольника, объем куба и прямоугольного параллелепипеда.</w:t>
      </w:r>
    </w:p>
    <w:p w:rsidR="00654C4B" w:rsidRPr="007A5338" w:rsidRDefault="00654C4B" w:rsidP="00654C4B">
      <w:pPr>
        <w:pStyle w:val="a4"/>
        <w:jc w:val="both"/>
        <w:rPr>
          <w:b/>
          <w:i/>
          <w:szCs w:val="28"/>
        </w:rPr>
      </w:pPr>
    </w:p>
    <w:p w:rsidR="00654C4B" w:rsidRDefault="00654C4B" w:rsidP="00654C4B">
      <w:pPr>
        <w:pStyle w:val="a4"/>
        <w:jc w:val="both"/>
        <w:rPr>
          <w:szCs w:val="28"/>
        </w:rPr>
      </w:pPr>
    </w:p>
    <w:p w:rsidR="00A015C6" w:rsidRDefault="00A015C6">
      <w:bookmarkStart w:id="0" w:name="_GoBack"/>
      <w:bookmarkEnd w:id="0"/>
    </w:p>
    <w:sectPr w:rsidR="00A015C6" w:rsidSect="00654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17"/>
    <w:multiLevelType w:val="hybridMultilevel"/>
    <w:tmpl w:val="BA4E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FC"/>
    <w:rsid w:val="00654C4B"/>
    <w:rsid w:val="00723267"/>
    <w:rsid w:val="00A015C6"/>
    <w:rsid w:val="00D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54C4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54C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54C4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54C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Дранкович</dc:creator>
  <cp:keywords/>
  <dc:description/>
  <cp:lastModifiedBy>Zavuchi-2</cp:lastModifiedBy>
  <cp:revision>3</cp:revision>
  <dcterms:created xsi:type="dcterms:W3CDTF">2017-06-28T01:05:00Z</dcterms:created>
  <dcterms:modified xsi:type="dcterms:W3CDTF">2017-06-29T07:37:00Z</dcterms:modified>
</cp:coreProperties>
</file>